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F1" w:rsidRPr="00233BF1" w:rsidRDefault="0053025C" w:rsidP="00233BF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ЭЭ 201</w:t>
      </w:r>
      <w:r w:rsidR="00D21C30" w:rsidRPr="00D21C30">
        <w:rPr>
          <w:rFonts w:ascii="Times New Roman" w:eastAsia="Times New Roman" w:hAnsi="Times New Roman" w:cs="Times New Roman"/>
          <w:kern w:val="36"/>
          <w:sz w:val="48"/>
          <w:szCs w:val="48"/>
        </w:rPr>
        <w:t>7</w:t>
      </w:r>
      <w:r w:rsidR="00233BF1" w:rsidRPr="00233BF1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год</w:t>
      </w:r>
    </w:p>
    <w:p w:rsidR="00233BF1" w:rsidRPr="00233BF1" w:rsidRDefault="0053025C" w:rsidP="00233BF1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ЭЭ 201</w:t>
      </w:r>
      <w:r w:rsidR="00D21C30" w:rsidRPr="00D21C30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7</w:t>
      </w:r>
      <w:r w:rsidR="00233BF1" w:rsidRPr="00233BF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 xml:space="preserve"> г.</w:t>
      </w:r>
      <w:r w:rsidR="00233BF1" w:rsidRPr="00233BF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br/>
        <w:t>Форма раскрытия информации</w:t>
      </w:r>
      <w:r w:rsidR="00233BF1" w:rsidRPr="00233BF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br/>
        <w:t>субъектами оптового и розничных рынк</w:t>
      </w:r>
      <w:r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ов</w:t>
      </w:r>
      <w:r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br/>
        <w:t>электрической энергии за 201</w:t>
      </w:r>
      <w:r w:rsidR="00E612F8" w:rsidRPr="00E612F8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7</w:t>
      </w:r>
      <w:r w:rsidR="00233BF1" w:rsidRPr="00233BF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 xml:space="preserve"> год.</w:t>
      </w:r>
      <w:r w:rsidR="00233BF1" w:rsidRPr="00233BF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br/>
        <w:t>В сфере</w:t>
      </w:r>
      <w:r w:rsidR="00233BF1" w:rsidRPr="00233BF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br/>
        <w:t>оказания услуг по передаче электрической энергии</w:t>
      </w:r>
    </w:p>
    <w:p w:rsidR="00233BF1" w:rsidRPr="00233BF1" w:rsidRDefault="00233BF1" w:rsidP="00233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33BF1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>Наименование организации</w:t>
      </w:r>
      <w:r w:rsidRPr="00233BF1">
        <w:rPr>
          <w:rFonts w:ascii="Helvetica" w:eastAsia="Times New Roman" w:hAnsi="Helvetica" w:cs="Helvetica"/>
          <w:color w:val="444444"/>
          <w:sz w:val="27"/>
        </w:rPr>
        <w:t> </w:t>
      </w:r>
      <w:r w:rsidRPr="00233BF1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ООО «Профит»</w:t>
      </w:r>
      <w:r w:rsidRPr="00233BF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33BF1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>Наименование муниципального образования Советский район, г. Нижний Новгород</w:t>
      </w:r>
      <w:r w:rsidRPr="00233BF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33BF1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>Юридический адрес 603104 г</w:t>
      </w:r>
      <w:proofErr w:type="gramStart"/>
      <w:r w:rsidRPr="00233BF1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>.Н</w:t>
      </w:r>
      <w:proofErr w:type="gramEnd"/>
      <w:r w:rsidRPr="00233BF1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>ижний Новгород ул.Нартова д.6, пом.2, оф.67</w:t>
      </w:r>
      <w:r w:rsidRPr="00233BF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33BF1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>Почтовый адрес 603104 г.Нижний Новгород ул.Нартова д.6</w:t>
      </w:r>
      <w:r w:rsidRPr="00233BF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33BF1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>ФИО руководителя Удалов Б.В.</w:t>
      </w:r>
      <w:r w:rsidRPr="00233BF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33BF1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>ФИО главного бухгалтера Удалов Б.В.</w:t>
      </w:r>
      <w:r w:rsidRPr="00233BF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33BF1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 xml:space="preserve">ФИО ответственного за заполнение формы </w:t>
      </w:r>
      <w:r w:rsidR="0053025C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>Тарасова Л.Е.</w:t>
      </w:r>
      <w:r w:rsidRPr="00233BF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33BF1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>Контактные телефоны 278 63 08</w:t>
      </w:r>
      <w:r w:rsidRPr="00233BF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33BF1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</w:rPr>
        <w:t>ИНН5262287335  КПП526201001  ОГРН1135262002523</w:t>
      </w:r>
    </w:p>
    <w:p w:rsidR="00233BF1" w:rsidRPr="00233BF1" w:rsidRDefault="00233BF1" w:rsidP="00233BF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  <w:r w:rsidRPr="00233BF1"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  <w:t>I. Общие положения</w:t>
      </w:r>
    </w:p>
    <w:tbl>
      <w:tblPr>
        <w:tblW w:w="9781" w:type="dxa"/>
        <w:tblInd w:w="-142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4961"/>
        <w:gridCol w:w="4252"/>
      </w:tblGrid>
      <w:tr w:rsidR="00233BF1" w:rsidRPr="00233BF1" w:rsidTr="00E612F8">
        <w:trPr>
          <w:trHeight w:val="1260"/>
        </w:trPr>
        <w:tc>
          <w:tcPr>
            <w:tcW w:w="56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а</w:t>
            </w:r>
          </w:p>
        </w:tc>
        <w:tc>
          <w:tcPr>
            <w:tcW w:w="4961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годовая финансовая (бухгалтерская) отчетность, в также аудиторское заключение (в случае, когда в соответствии с законодательством Российской Федерации в отношении субъекта рынка электрической энергии осуществлялась аудиторская проверка), если иное не установлено законодательством Российской Федерации;</w:t>
            </w:r>
          </w:p>
        </w:tc>
        <w:tc>
          <w:tcPr>
            <w:tcW w:w="425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Не подлежит раскрытию в средствах массовой информации.</w:t>
            </w:r>
          </w:p>
        </w:tc>
      </w:tr>
      <w:tr w:rsidR="00233BF1" w:rsidRPr="00233BF1" w:rsidTr="00E612F8">
        <w:trPr>
          <w:trHeight w:val="1530"/>
        </w:trPr>
        <w:tc>
          <w:tcPr>
            <w:tcW w:w="56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б</w:t>
            </w:r>
          </w:p>
        </w:tc>
        <w:tc>
          <w:tcPr>
            <w:tcW w:w="4961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показатели эффективности использования капитала — в случае применения метода расчета экономически обоснованного уровня доходности инвестированного капитала при государственном регулировании тарифов в отношении субъекта рынка электрической энергии:</w:t>
            </w:r>
          </w:p>
        </w:tc>
        <w:tc>
          <w:tcPr>
            <w:tcW w:w="425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E612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Инвестиц</w:t>
            </w:r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ионные программы в 201</w:t>
            </w:r>
            <w:r w:rsidR="00E612F8" w:rsidRPr="00E612F8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6</w:t>
            </w: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году отсутствовали.</w:t>
            </w:r>
          </w:p>
        </w:tc>
      </w:tr>
      <w:tr w:rsidR="00233BF1" w:rsidRPr="00233BF1" w:rsidTr="00E612F8">
        <w:trPr>
          <w:trHeight w:val="1530"/>
        </w:trPr>
        <w:tc>
          <w:tcPr>
            <w:tcW w:w="56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уровень доходности инвестированного капитала, установленных федеральным органом исполнительной власти по регулированию естественных монополий, с указанием </w:t>
            </w:r>
            <w:proofErr w:type="gram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источника опубликования методики определения уровня доходности инвестированного капитала</w:t>
            </w:r>
            <w:proofErr w:type="gram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;</w:t>
            </w:r>
          </w:p>
        </w:tc>
        <w:tc>
          <w:tcPr>
            <w:tcW w:w="425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</w:tr>
      <w:tr w:rsidR="00233BF1" w:rsidRPr="00233BF1" w:rsidTr="00E612F8">
        <w:trPr>
          <w:trHeight w:val="1785"/>
        </w:trPr>
        <w:tc>
          <w:tcPr>
            <w:tcW w:w="56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фактический уровень доходности инвестированного капитала, использованного при осуществлении регулируемой деятельности, и обоснование  причин его отклонения от уровня доходности инвестированного капитала, установленного федеральным органом исполнительной власти по регулированию естественных монополий;</w:t>
            </w:r>
          </w:p>
        </w:tc>
        <w:tc>
          <w:tcPr>
            <w:tcW w:w="425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</w:tr>
      <w:tr w:rsidR="00233BF1" w:rsidRPr="00233BF1" w:rsidTr="00E612F8">
        <w:trPr>
          <w:trHeight w:val="1275"/>
        </w:trPr>
        <w:tc>
          <w:tcPr>
            <w:tcW w:w="56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в</w:t>
            </w:r>
          </w:p>
        </w:tc>
        <w:tc>
          <w:tcPr>
            <w:tcW w:w="4961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отчет о движении активов, учитываемых при установлении федеральным органом исполнительной власти по регулированию естественных монополий уровня доходности инвестированного капитала, включающий (по остаточной стоимости):</w:t>
            </w:r>
          </w:p>
        </w:tc>
        <w:tc>
          <w:tcPr>
            <w:tcW w:w="425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Не подлежит раскрытию в средствах массовой информации.</w:t>
            </w:r>
          </w:p>
        </w:tc>
      </w:tr>
      <w:tr w:rsidR="00233BF1" w:rsidRPr="00233BF1" w:rsidTr="00E612F8">
        <w:trPr>
          <w:trHeight w:val="285"/>
        </w:trPr>
        <w:tc>
          <w:tcPr>
            <w:tcW w:w="56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балансовую стоимость активов на начало года;</w:t>
            </w:r>
          </w:p>
        </w:tc>
        <w:tc>
          <w:tcPr>
            <w:tcW w:w="425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</w:tr>
      <w:tr w:rsidR="00233BF1" w:rsidRPr="00233BF1" w:rsidTr="00E612F8">
        <w:trPr>
          <w:trHeight w:val="285"/>
        </w:trPr>
        <w:tc>
          <w:tcPr>
            <w:tcW w:w="56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балансовую стоимость активов на конец года;</w:t>
            </w:r>
          </w:p>
        </w:tc>
        <w:tc>
          <w:tcPr>
            <w:tcW w:w="425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</w:tr>
      <w:tr w:rsidR="00233BF1" w:rsidRPr="00233BF1" w:rsidTr="00E612F8">
        <w:trPr>
          <w:trHeight w:val="285"/>
        </w:trPr>
        <w:tc>
          <w:tcPr>
            <w:tcW w:w="56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сведения о выбытии активов в течение года;</w:t>
            </w:r>
          </w:p>
        </w:tc>
        <w:tc>
          <w:tcPr>
            <w:tcW w:w="425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</w:tr>
      <w:tr w:rsidR="00233BF1" w:rsidRPr="00233BF1" w:rsidTr="00E612F8">
        <w:trPr>
          <w:trHeight w:val="765"/>
        </w:trPr>
        <w:tc>
          <w:tcPr>
            <w:tcW w:w="56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сведения о вводе активов в течение года, в том числе за счет переоценки, модернизации, реконструкции, строительства и приобретения нового оборудования.</w:t>
            </w:r>
          </w:p>
        </w:tc>
        <w:tc>
          <w:tcPr>
            <w:tcW w:w="425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</w:p>
        </w:tc>
      </w:tr>
    </w:tbl>
    <w:p w:rsidR="00233BF1" w:rsidRPr="00233BF1" w:rsidRDefault="00233BF1" w:rsidP="00233BF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vanish/>
          <w:color w:val="444444"/>
          <w:sz w:val="21"/>
          <w:szCs w:val="21"/>
        </w:rPr>
      </w:pPr>
    </w:p>
    <w:tbl>
      <w:tblPr>
        <w:tblW w:w="1137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11370"/>
      </w:tblGrid>
      <w:tr w:rsidR="00233BF1" w:rsidRPr="00233BF1" w:rsidTr="00233BF1">
        <w:tc>
          <w:tcPr>
            <w:tcW w:w="0" w:type="auto"/>
            <w:vAlign w:val="center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</w:p>
        </w:tc>
      </w:tr>
    </w:tbl>
    <w:p w:rsidR="00233BF1" w:rsidRPr="00233BF1" w:rsidRDefault="00233BF1" w:rsidP="00233BF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  <w:r w:rsidRPr="00233BF1"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  <w:t>II. Стандарт раскрытия информации организацией по управлению единой национальной (общероссийской) электрической сетью и территориальными сетевыми организациями</w:t>
      </w:r>
      <w:proofErr w:type="gramStart"/>
      <w:r w:rsidRPr="00233BF1"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  <w:t>.</w:t>
      </w:r>
      <w:proofErr w:type="gramEnd"/>
      <w:r w:rsidRPr="00233BF1"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  <w:t xml:space="preserve"> (</w:t>
      </w:r>
      <w:proofErr w:type="gramStart"/>
      <w:r w:rsidRPr="00233BF1"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  <w:t>р</w:t>
      </w:r>
      <w:proofErr w:type="gramEnd"/>
      <w:r w:rsidRPr="00233BF1"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  <w:t>ед. Постановления Правительства РФ от 21.04.09г. №334)</w:t>
      </w:r>
    </w:p>
    <w:tbl>
      <w:tblPr>
        <w:tblW w:w="11340" w:type="dxa"/>
        <w:tblBorders>
          <w:bottom w:val="single" w:sz="6" w:space="0" w:color="EDEDE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22"/>
        <w:gridCol w:w="3892"/>
      </w:tblGrid>
      <w:tr w:rsidR="00233BF1" w:rsidRPr="00233BF1" w:rsidTr="00E612F8">
        <w:trPr>
          <w:trHeight w:val="1530"/>
        </w:trPr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а</w:t>
            </w:r>
          </w:p>
        </w:tc>
        <w:tc>
          <w:tcPr>
            <w:tcW w:w="702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Условия договоров об оказании услуг по передаче электрической энергии и типовые договоры об осуществлении технологического присоединения с указанием источника официального опубликования нормативного правового акта, регулирующего условия этих договоров.</w:t>
            </w:r>
          </w:p>
        </w:tc>
        <w:tc>
          <w:tcPr>
            <w:tcW w:w="389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Договор № 68-юр оказания услуг по передаче электрической энергии (мощности), между ООО ПКП «Энергетика» и Филиалом «</w:t>
            </w:r>
            <w:proofErr w:type="spell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Нижновэнерго</w:t>
            </w:r>
            <w:proofErr w:type="spell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» ОАО «МРСК Центра и Приволжья» и дополнительное соглашение б/</w:t>
            </w:r>
            <w:proofErr w:type="spellStart"/>
            <w:proofErr w:type="gram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н</w:t>
            </w:r>
            <w:proofErr w:type="spellEnd"/>
            <w:proofErr w:type="gram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</w:t>
            </w:r>
            <w:proofErr w:type="gram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к</w:t>
            </w:r>
            <w:proofErr w:type="gram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договору от 30.09.2013г.</w:t>
            </w:r>
          </w:p>
        </w:tc>
      </w:tr>
      <w:tr w:rsidR="00233BF1" w:rsidRPr="00233BF1" w:rsidTr="00E612F8">
        <w:trPr>
          <w:trHeight w:val="1275"/>
        </w:trPr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б</w:t>
            </w:r>
          </w:p>
        </w:tc>
        <w:tc>
          <w:tcPr>
            <w:tcW w:w="702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Сведения о тарифах на услуги по передаче электрической энергии и технологическому присоединению с указанием источника официального опубликования решения регулирующего органа об установлении тарифов.</w:t>
            </w:r>
          </w:p>
        </w:tc>
        <w:tc>
          <w:tcPr>
            <w:tcW w:w="389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E612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Тариф на услу</w:t>
            </w:r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ги по передаче </w:t>
            </w:r>
            <w:proofErr w:type="spellStart"/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эл</w:t>
            </w:r>
            <w:proofErr w:type="gramStart"/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.э</w:t>
            </w:r>
            <w:proofErr w:type="gramEnd"/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нергии</w:t>
            </w:r>
            <w:proofErr w:type="spellEnd"/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в 201</w:t>
            </w:r>
            <w:r w:rsidR="00E612F8" w:rsidRPr="00E612F8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7 </w:t>
            </w: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году: Ставка на содержание </w:t>
            </w:r>
            <w:proofErr w:type="spell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эл</w:t>
            </w:r>
            <w:proofErr w:type="gram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.с</w:t>
            </w:r>
            <w:proofErr w:type="gramEnd"/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етей</w:t>
            </w:r>
            <w:proofErr w:type="spellEnd"/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: с 1 января по 30 июня 201</w:t>
            </w:r>
            <w:r w:rsidR="00E612F8" w:rsidRPr="00E612F8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7</w:t>
            </w:r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года включительно </w:t>
            </w:r>
            <w:r w:rsidR="00E612F8" w:rsidRPr="00E612F8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621</w:t>
            </w:r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,</w:t>
            </w:r>
            <w:r w:rsidR="00E612F8" w:rsidRPr="00E612F8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185</w:t>
            </w: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руб</w:t>
            </w:r>
            <w:proofErr w:type="spell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/МВт в месяц. С 1 июля по 31 декабря </w:t>
            </w:r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201</w:t>
            </w:r>
            <w:r w:rsidR="00E612F8" w:rsidRPr="00E612F8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7</w:t>
            </w:r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года включительно </w:t>
            </w:r>
            <w:r w:rsidR="00E612F8" w:rsidRPr="00E612F8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622</w:t>
            </w:r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,</w:t>
            </w:r>
            <w:r w:rsidR="00E612F8" w:rsidRPr="00E612F8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19</w:t>
            </w: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</w:t>
            </w:r>
            <w:proofErr w:type="spell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руб</w:t>
            </w:r>
            <w:proofErr w:type="spell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/МВт в месяц.</w:t>
            </w:r>
          </w:p>
        </w:tc>
      </w:tr>
      <w:tr w:rsidR="00233BF1" w:rsidRPr="00233BF1" w:rsidTr="00E612F8">
        <w:trPr>
          <w:trHeight w:val="6120"/>
        </w:trPr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lastRenderedPageBreak/>
              <w:t>в</w:t>
            </w:r>
          </w:p>
        </w:tc>
        <w:tc>
          <w:tcPr>
            <w:tcW w:w="702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Сведения о размерах потерь, возникающих в электрических сетях сетевой организации, включая:                                                  размеры потерь в сетях, в том числе уровень нормативных потерь и отклонения от них в целом по сетевой организации и по регионам обслуживания с учетом номинальных классов и уровней </w:t>
            </w:r>
            <w:proofErr w:type="gram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напряжения</w:t>
            </w:r>
            <w:proofErr w:type="gram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с выделением размера оплачиваемых сетевой организацией потерь и размера потерь, оплачиваемых покупателями при осуществлении расчетов за электрическую энергию на </w:t>
            </w:r>
            <w:proofErr w:type="gram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оптовом рынке, а также процентное соотношение размера потерь в сетях и количества переданной электрической энергии за год с указанием источника опубликования решения об установлении уровня нормативных потерь;     перечень мероприятий по снижению размеров потерь в сетях, а также сроки их исполнения и источники финансирования,                                                                                                    источник опубликования методических указаний по определению нормативов потерь в сетях, утверждаемых уполномоченным федеральным органом исполнительной власти;</w:t>
            </w:r>
            <w:proofErr w:type="gram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 информацию о порядке закупки сетевыми организациями электрической энергии для компенсации потерь в сетях и ее стоимости.</w:t>
            </w:r>
          </w:p>
        </w:tc>
        <w:tc>
          <w:tcPr>
            <w:tcW w:w="389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E612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Утверждённый норматив технологических потерь электроэнергии при её передач</w:t>
            </w:r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е по электрическим сетям на 201</w:t>
            </w:r>
            <w:r w:rsidR="00E612F8" w:rsidRPr="00E612F8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7</w:t>
            </w:r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год 6,04</w:t>
            </w: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% от отпуска электроэнергии в сеть. </w:t>
            </w:r>
            <w:proofErr w:type="gram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Согл</w:t>
            </w:r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асно приказа</w:t>
            </w:r>
            <w:proofErr w:type="gramEnd"/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Минэнерго России №373 от 25.06.2014</w:t>
            </w: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г.</w:t>
            </w:r>
          </w:p>
        </w:tc>
      </w:tr>
      <w:tr w:rsidR="00233BF1" w:rsidRPr="00233BF1" w:rsidTr="00E612F8">
        <w:trPr>
          <w:trHeight w:val="765"/>
        </w:trPr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г</w:t>
            </w:r>
          </w:p>
        </w:tc>
        <w:tc>
          <w:tcPr>
            <w:tcW w:w="702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Перечень зон деятельности сетевой организации с детализацией по населенным пунктам и районам городов.</w:t>
            </w:r>
          </w:p>
        </w:tc>
        <w:tc>
          <w:tcPr>
            <w:tcW w:w="389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г</w:t>
            </w:r>
            <w:proofErr w:type="gram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.Н</w:t>
            </w:r>
            <w:proofErr w:type="gram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ижний Новгород, Советский район, ул.Нартова, д.6</w:t>
            </w:r>
          </w:p>
        </w:tc>
      </w:tr>
      <w:tr w:rsidR="00233BF1" w:rsidRPr="00233BF1" w:rsidTr="00E612F8">
        <w:trPr>
          <w:trHeight w:val="2040"/>
        </w:trPr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2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Сведения о техническом состоянии сетей, в том числе: количество аварийных ограничений (отключений) за квартал и год по границам территориальных зон деятельности организации с указанием причин аварий и мероприятий по их устранению; объем недопоставленной в результате аварийных ограничений (отключений) электрической энергии.</w:t>
            </w:r>
          </w:p>
        </w:tc>
        <w:tc>
          <w:tcPr>
            <w:tcW w:w="389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E612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Пропускная способность ООО «Пр</w:t>
            </w:r>
            <w:r w:rsidR="0053025C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офит» </w:t>
            </w:r>
            <w:r w:rsidR="00E612F8" w:rsidRPr="00E612F8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B00B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,18 МВА. </w:t>
            </w:r>
          </w:p>
        </w:tc>
      </w:tr>
      <w:tr w:rsidR="00233BF1" w:rsidRPr="00233BF1" w:rsidTr="00E612F8">
        <w:trPr>
          <w:trHeight w:val="3570"/>
        </w:trPr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е</w:t>
            </w:r>
          </w:p>
        </w:tc>
        <w:tc>
          <w:tcPr>
            <w:tcW w:w="702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Сведения об общей пропускной способности каждого участка электрической сети (в местах подстанций, трансформаторов и распределительных устройств) с указанием: текущего резерва мощности для присоединения потребителей (в абсолютных показателях) с учетом присоединенных потребителей и отдельно с учетом заключенных договоров на технологическое присоединение; планируемого резерва мощности на конец года с учетом присоединенных потребителей, заключенных договоров на технологическое присоединение, поданных заявок на технологическое присоединение и реализации планов капитальных вложений (инвестиционных программ).</w:t>
            </w:r>
          </w:p>
        </w:tc>
        <w:tc>
          <w:tcPr>
            <w:tcW w:w="389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E5496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Инвестиционные программы в 201</w:t>
            </w:r>
            <w:r w:rsidR="00E54962" w:rsidRPr="00E54962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6</w:t>
            </w: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году отсутствовали.</w:t>
            </w:r>
          </w:p>
        </w:tc>
      </w:tr>
      <w:tr w:rsidR="00233BF1" w:rsidRPr="00233BF1" w:rsidTr="00E612F8">
        <w:trPr>
          <w:trHeight w:val="2040"/>
        </w:trPr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lastRenderedPageBreak/>
              <w:t>ж</w:t>
            </w:r>
          </w:p>
        </w:tc>
        <w:tc>
          <w:tcPr>
            <w:tcW w:w="702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 и увеличения резерва для присоединения потребителей отдельно по каждому участку электрической сети (в местах подстанций, трансформаторов и распределительных устройств).</w:t>
            </w:r>
          </w:p>
        </w:tc>
        <w:tc>
          <w:tcPr>
            <w:tcW w:w="389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E5496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Инвестиционные программы в 201</w:t>
            </w:r>
            <w:r w:rsidR="00E54962" w:rsidRPr="00E54962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6</w:t>
            </w: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году отсутствовали.</w:t>
            </w:r>
          </w:p>
        </w:tc>
      </w:tr>
      <w:tr w:rsidR="00233BF1" w:rsidRPr="00233BF1" w:rsidTr="00E612F8">
        <w:trPr>
          <w:trHeight w:val="2550"/>
        </w:trPr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spell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02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Планы капитальных вложений и планы капитального ремонта (инвестиционные программы), касающиеся </w:t>
            </w:r>
            <w:proofErr w:type="spell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реконструкциии</w:t>
            </w:r>
            <w:proofErr w:type="spell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и развития электрических сетей, согласованные в порядке, установленном Правительством Российской Федерации, с указанием даты расширения пропускной способности и увеличения резерва для присоединения потребителей по каждому участку электрической сети (в местах подстанций, трансформаторов и распределительных устройств).</w:t>
            </w:r>
          </w:p>
        </w:tc>
        <w:tc>
          <w:tcPr>
            <w:tcW w:w="389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E5496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Инвестиционные программы в 201</w:t>
            </w:r>
            <w:r w:rsidR="00E54962" w:rsidRPr="00E54962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6</w:t>
            </w: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году отсутствовали.</w:t>
            </w:r>
          </w:p>
        </w:tc>
      </w:tr>
      <w:tr w:rsidR="00233BF1" w:rsidRPr="00233BF1" w:rsidTr="00E612F8">
        <w:trPr>
          <w:trHeight w:val="1530"/>
        </w:trPr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и</w:t>
            </w:r>
          </w:p>
        </w:tc>
        <w:tc>
          <w:tcPr>
            <w:tcW w:w="702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Годовые графики капитального ремонта </w:t>
            </w:r>
            <w:proofErr w:type="spell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электросетевых</w:t>
            </w:r>
            <w:proofErr w:type="spell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объектов, согласованные с системным оператором (его территориальными управлениями), а также сведения о планируемых ограничениях мощности по основным сечениям электрической сети в связи с ремонтными работами.</w:t>
            </w:r>
          </w:p>
        </w:tc>
        <w:tc>
          <w:tcPr>
            <w:tcW w:w="389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Ограничения мощности в связи с ремонтными работами не планируются.</w:t>
            </w:r>
          </w:p>
        </w:tc>
      </w:tr>
      <w:tr w:rsidR="00233BF1" w:rsidRPr="00233BF1" w:rsidTr="00E612F8">
        <w:trPr>
          <w:trHeight w:val="3060"/>
        </w:trPr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B204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к</w:t>
            </w:r>
          </w:p>
        </w:tc>
        <w:tc>
          <w:tcPr>
            <w:tcW w:w="702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233BF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proofErr w:type="gramStart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Сведения о поданных заявках на технологическое присоединение и заключенных договорах на технологическое присоединение по каждому участку электрической сети (в местах подстанций, трансформаторов и распределительных устройств) с указанием: количества поданных заявок и объема мощности, необходимого для их удовлетворения; количества заключенных договоров на технологическое присоединение, присоединяемого объема мощности, сроков и стоимости по каждому договору отдельно;</w:t>
            </w:r>
            <w:proofErr w:type="gramEnd"/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информации об аннулированных заявках на технологическое присоединение.</w:t>
            </w:r>
          </w:p>
        </w:tc>
        <w:tc>
          <w:tcPr>
            <w:tcW w:w="389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33BF1" w:rsidRPr="00233BF1" w:rsidRDefault="00233BF1" w:rsidP="00E5496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В 201</w:t>
            </w:r>
            <w:r w:rsidR="00E54962" w:rsidRPr="00E54962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6</w:t>
            </w:r>
            <w:r w:rsidRPr="00233BF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 xml:space="preserve"> году заявок на технологическое присоеди</w:t>
            </w:r>
            <w:r w:rsidR="00740599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  <w:t>нение не подавалось.</w:t>
            </w:r>
          </w:p>
        </w:tc>
      </w:tr>
    </w:tbl>
    <w:p w:rsidR="000A1C31" w:rsidRDefault="000A1C31" w:rsidP="00233BF1">
      <w:pPr>
        <w:ind w:left="-851" w:firstLine="851"/>
      </w:pPr>
    </w:p>
    <w:sectPr w:rsidR="000A1C31" w:rsidSect="00B204D1">
      <w:pgSz w:w="11906" w:h="16838"/>
      <w:pgMar w:top="284" w:right="1133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BF1"/>
    <w:rsid w:val="000A1C31"/>
    <w:rsid w:val="000B501A"/>
    <w:rsid w:val="00233BF1"/>
    <w:rsid w:val="002C7775"/>
    <w:rsid w:val="0053025C"/>
    <w:rsid w:val="00645175"/>
    <w:rsid w:val="00740599"/>
    <w:rsid w:val="00A61DB9"/>
    <w:rsid w:val="00B00B66"/>
    <w:rsid w:val="00B204D1"/>
    <w:rsid w:val="00D21C30"/>
    <w:rsid w:val="00E521DB"/>
    <w:rsid w:val="00E54962"/>
    <w:rsid w:val="00E6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DB"/>
  </w:style>
  <w:style w:type="paragraph" w:styleId="1">
    <w:name w:val="heading 1"/>
    <w:basedOn w:val="a"/>
    <w:link w:val="10"/>
    <w:uiPriority w:val="9"/>
    <w:qFormat/>
    <w:rsid w:val="00233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3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B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33B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33BF1"/>
    <w:rPr>
      <w:b/>
      <w:bCs/>
    </w:rPr>
  </w:style>
  <w:style w:type="paragraph" w:styleId="a4">
    <w:name w:val="Normal (Web)"/>
    <w:basedOn w:val="a"/>
    <w:uiPriority w:val="99"/>
    <w:semiHidden/>
    <w:unhideWhenUsed/>
    <w:rsid w:val="0023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3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tarasova</cp:lastModifiedBy>
  <cp:revision>10</cp:revision>
  <cp:lastPrinted>2016-12-27T06:17:00Z</cp:lastPrinted>
  <dcterms:created xsi:type="dcterms:W3CDTF">2015-01-22T07:47:00Z</dcterms:created>
  <dcterms:modified xsi:type="dcterms:W3CDTF">2016-12-27T06:31:00Z</dcterms:modified>
</cp:coreProperties>
</file>